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920"/>
        <w:gridCol w:w="2736"/>
      </w:tblGrid>
      <w:tr>
        <w:tc>
          <w:tcPr>
            <w:tcW w:type="dxa" w:w="79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tcBorders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0B4A3A"/>
                <w:sz w:val="18"/>
              </w:rPr>
              <w:t>PRAXIS-CHECKLISTE  |  V.29</w:t>
            </w:r>
          </w:p>
        </w:tc>
        <w:tc>
          <w:tcPr>
            <w:tcW w:type="dxa" w:w="2736"/>
            <w:tcBorders/>
          </w:tcPr>
          <w:p>
            <w:pPr>
              <w:jc w:val="right"/>
            </w:pPr>
            <w:r>
              <w:drawing>
                <wp:inline xmlns:a="http://schemas.openxmlformats.org/drawingml/2006/main" xmlns:pic="http://schemas.openxmlformats.org/drawingml/2006/picture">
                  <wp:extent cx="1691640" cy="47779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kuhn-logo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91640" cy="47779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Title"/>
        <w:spacing w:before="140" w:after="40"/>
      </w:pPr>
      <w:r>
        <w:t>Herbstcheck Verkehrswege und Beleuchtung</w:t>
      </w:r>
    </w:p>
    <w:p>
      <w:pPr>
        <w:spacing w:after="160"/>
      </w:pPr>
      <w:r>
        <w:rPr>
          <w:rFonts w:ascii="Arial" w:hAnsi="Arial"/>
          <w:b/>
          <w:color w:val="0B4A3A"/>
          <w:sz w:val="20"/>
        </w:rPr>
        <w:t>Für Betriebsbereiche innen und außen  |  Kurzprüfung bei Betriebsbegehungen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664"/>
        <w:gridCol w:w="2664"/>
        <w:gridCol w:w="2664"/>
        <w:gridCol w:w="2664"/>
      </w:tblGrid>
      <w:tr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0B4A3A"/>
                <w:sz w:val="18"/>
              </w:rPr>
              <w:t>Betrieb</w:t>
            </w:r>
          </w:p>
        </w:tc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 w:val="0"/>
                <w:color w:val="202522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0B4A3A"/>
                <w:sz w:val="18"/>
              </w:rPr>
              <w:t>Bereich</w:t>
            </w:r>
          </w:p>
        </w:tc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 w:val="0"/>
                <w:color w:val="202522"/>
                <w:sz w:val="18"/>
              </w:rPr>
            </w:r>
          </w:p>
        </w:tc>
      </w:tr>
      <w:tr>
        <w:tc>
          <w:tcPr>
            <w:tcW w:type="dxa" w:w="129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0B4A3A"/>
                <w:sz w:val="18"/>
              </w:rPr>
              <w:t>Datum</w:t>
            </w:r>
          </w:p>
        </w:tc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 w:val="0"/>
                <w:color w:val="202522"/>
                <w:sz w:val="18"/>
              </w:rPr>
            </w:r>
          </w:p>
        </w:tc>
        <w:tc>
          <w:tcPr>
            <w:tcW w:type="dxa" w:w="158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/>
                <w:color w:val="0B4A3A"/>
                <w:sz w:val="18"/>
              </w:rPr>
              <w:t>Prüfende Person</w:t>
            </w:r>
          </w:p>
        </w:tc>
        <w:tc>
          <w:tcPr>
            <w:tcW w:type="dxa" w:w="3888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</w:pPr>
            <w:r/>
            <w:r>
              <w:rPr>
                <w:rFonts w:ascii="Arial" w:hAnsi="Arial"/>
                <w:b w:val="0"/>
                <w:color w:val="202522"/>
                <w:sz w:val="18"/>
              </w:rPr>
            </w:r>
          </w:p>
        </w:tc>
      </w:tr>
    </w:tbl>
    <w:p>
      <w:pPr>
        <w:spacing w:before="140" w:after="140" w:line="259" w:lineRule="auto"/>
      </w:pPr>
      <w:r>
        <w:rPr>
          <w:rFonts w:ascii="Arial" w:hAnsi="Arial"/>
          <w:b/>
          <w:color w:val="0B4A3A"/>
          <w:sz w:val="18"/>
        </w:rPr>
        <w:t xml:space="preserve">Hinweis: </w:t>
      </w:r>
      <w:r>
        <w:rPr>
          <w:rFonts w:ascii="Arial" w:hAnsi="Arial"/>
          <w:sz w:val="18"/>
        </w:rPr>
        <w:t>Die Liste unterstützt die Sichtkontrolle. Festgestellte Mängel sind zu bewerten, zu beseitigen und in der Gefährdungsbeurteilung beziehungsweise Maßnahmenverfolgung zu berücksichtigen.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04"/>
        <w:gridCol w:w="6120"/>
        <w:gridCol w:w="792"/>
        <w:gridCol w:w="936"/>
        <w:gridCol w:w="2304"/>
      </w:tblGrid>
      <w:tr>
        <w:tc>
          <w:tcPr>
            <w:tcW w:type="dxa" w:w="21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B4A3A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Nr.</w:t>
            </w:r>
          </w:p>
        </w:tc>
        <w:tc>
          <w:tcPr>
            <w:tcW w:type="dxa" w:w="21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B4A3A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Prüfpunkt</w:t>
            </w:r>
          </w:p>
        </w:tc>
        <w:tc>
          <w:tcPr>
            <w:tcW w:type="dxa" w:w="21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B4A3A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i. O.</w:t>
            </w:r>
          </w:p>
        </w:tc>
        <w:tc>
          <w:tcPr>
            <w:tcW w:type="dxa" w:w="21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B4A3A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Maßn.</w:t>
            </w:r>
          </w:p>
        </w:tc>
        <w:tc>
          <w:tcPr>
            <w:tcW w:type="dxa" w:w="2131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0B4A3A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Verantwortlich / Termin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1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Außenwege sind frei von Laub, Moos, Schlamm, Wasseransammlungen und losem Material.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2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Reinigung, Räumung und Streuen sind geregelt; Verantwortliche und Kontrollzeiten sind festgelegt.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3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Fußböden und Wege haben keine Löcher, Unebenheiten, gefährlichen Schrägen oder losen Abdeckungen.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4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Treppen und Rampen sind trittsicher; Handläufe, Kanten und Übergänge sind gut erkennbar.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5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Verkehrs- und Fluchtwege, Türen sowie Notausgänge sind vollständig frei und nutzbar.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6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Fußgänger- und Fahrzeugverkehr sind ausreichend getrennt; Sicherheitsabstände bleiben frei.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7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Markierungen, Warnzeichen und Fahrtrichtungen sind sauber, sichtbar und nicht verstellt.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8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Beleuchtung funktioniert an Eingängen, Toren, Treppen, Rampen, Ladezonen und Kreuzungen.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9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Es entstehen keine gefährlichen Blendungen, tiefen Schatten oder schlecht erkennbaren Übergänge.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10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Sicherheitsbeleuchtung ist vorhanden, wenn ein gefahrloses Verlassen sonst nicht gewährleistet ist.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11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Kabel, Schläuche, Paletten und vorübergehend abgestellte Gegenstände erzeugen keine Stolperstellen.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FFFFF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  <w:tr>
        <w:tc>
          <w:tcPr>
            <w:tcW w:type="dxa" w:w="5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12</w:t>
            </w:r>
          </w:p>
        </w:tc>
        <w:tc>
          <w:tcPr>
            <w:tcW w:type="dxa" w:w="6120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Beschäftigte kennen den Meldeweg für Ausfälle, Glätte, Schäden und zugestellte Wege.</w:t>
            </w:r>
          </w:p>
        </w:tc>
        <w:tc>
          <w:tcPr>
            <w:tcW w:type="dxa" w:w="792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936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center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□</w:t>
            </w:r>
          </w:p>
        </w:tc>
        <w:tc>
          <w:tcPr>
            <w:tcW w:type="dxa" w:w="2304"/>
            <w:vAlign w:val="center"/>
            <w:tcMar>
              <w:top w:w="90" w:type="dxa"/>
              <w:start w:w="100" w:type="dxa"/>
              <w:bottom w:w="90" w:type="dxa"/>
              <w:end w:w="100" w:type="dxa"/>
            </w:tcMar>
            <w:shd w:fill="F3F7F5"/>
          </w:tcPr>
          <w:p>
            <w:pPr>
              <w:spacing w:after="0" w:line="252" w:lineRule="auto"/>
              <w:jc w:val="left"/>
            </w:pPr>
            <w:r/>
            <w:r>
              <w:rPr>
                <w:rFonts w:ascii="Arial" w:hAnsi="Arial"/>
                <w:b w:val="0"/>
                <w:color w:val="202522"/>
                <w:sz w:val="16"/>
              </w:rPr>
              <w:t>________________</w:t>
            </w:r>
          </w:p>
        </w:tc>
      </w:tr>
    </w:tbl>
    <w:p>
      <w:pPr>
        <w:spacing w:before="140" w:after="0" w:line="240" w:lineRule="auto"/>
      </w:pPr>
      <w:r>
        <w:rPr>
          <w:rFonts w:ascii="Arial" w:hAnsi="Arial"/>
          <w:color w:val="5C6762"/>
          <w:sz w:val="15"/>
        </w:rPr>
        <w:t>Grundlagen: ArbStättV Anhang 1.5, 1.8, 2.3 und 3.4; ASR A1.8 Verkehrswege; ASR A3.4 Beleuchtung und Sichtverbindung. Stand 23.09.2026.</w:t>
      </w:r>
    </w:p>
    <w:sectPr w:rsidR="00FC693F" w:rsidRPr="0006063C" w:rsidSect="00034616">
      <w:footerReference w:type="default" r:id="rId10"/>
      <w:pgSz w:w="12240" w:h="15840"/>
      <w:pgMar w:top="648" w:right="792" w:bottom="648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/>
        <w:color w:val="0B4A3A"/>
        <w:sz w:val="16"/>
      </w:rPr>
      <w:t>KUHN ARBEITSSICHERHEIT  |  kuhn-arbeitssicherheit.de  |  0162 6014463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522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Herbstcheck Verkehrswege und Beleuchtung</dc:title>
  <dc:subject>Arbeitsschutz Checkliste für Verkehrswege und Beleuchtung</dc:subject>
  <dc:creator>Kuhn Arbeitssicherheit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