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Kostenstelle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Erstellt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Prüffristen nicht pauschal übernehmen. Sie sind aus Gefährdungsbeurteilung, BetrSichV/TRBS, DGUV-Regelwerk, Herstellerangaben und betrieblichen Erfahrungen festzulegen.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Arbeitsmittelverzeichnis und Prüfplanung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Arbeitsmittel / Typ</w:t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Standort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Prüfart / Grundlage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Prüfer-Qualifikation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Intervall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Letzte Prüfung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 Prüfung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Nachweis</w:t>
            </w:r>
          </w:p>
        </w:tc>
      </w:tr>
      <w:tr>
        <w:trPr>
          <w:trHeight w:val="567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Fortsetzung Prüfkataster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Arbeitsmittel / Typ</w:t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Standort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Prüfart / Grundlage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Prüfer-Qualifikation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Intervall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Letzte Prüfung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 Prüfung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Nachweis</w:t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6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Änderungen und Wirksamkeitskontrolle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rHeight w:val="454" w:hRule="atLeast"/>
          <w:tblHeader w:val="true"/>
        </w:trPr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Datum</w:t>
            </w:r>
          </w:p>
        </w:tc>
        <w:tc>
          <w:tcPr>
            <w:tcW w:type="dxa" w:w="85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Änderung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 / Nachweis</w:t>
            </w:r>
          </w:p>
        </w:tc>
      </w:tr>
      <w:tr>
        <w:trPr>
          <w:trHeight w:val="567" w:hRule="atLeast"/>
          <w:cantSplit/>
        </w:trPr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85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85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Prüfkataster Arbeitsmittel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Arbeitsmittel, Prüfgrundlagen, Fristen und Nachweise erfassen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Prüfkataster Arbeitsmittel</dc:title>
  <dc:subject>Arbeitsmittel, Prüfgrundlagen, Fristen und Nachweise erfassen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