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7739"/>
        <w:gridCol w:w="7739"/>
      </w:tblGrid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Verantwortliche Stelle</w:t>
              <w:br/>
            </w:r>
          </w:p>
        </w:tc>
      </w:tr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Betriebsärztliche Betreuung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Stand / Revision</w:t>
              <w:br/>
            </w:r>
          </w:p>
        </w:tc>
      </w:tr>
    </w:tbl>
    <w:p>
      <w:pPr>
        <w:spacing w:after="0"/>
      </w:pP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15478"/>
      </w:tblGrid>
      <w:tr>
        <w:tc>
          <w:tcPr>
            <w:tcW w:type="dxa" w:w="154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Nur dokumentieren, dass, wann und aus welchem Anlass Vorsorge stattgefunden hat. Diagnosen und medizinische Befunde gehören nicht in die betriebliche Vorsorgekartei. Zugriff und Aufbewahrung datenschutzgerecht organisieren.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Vorsorgeanlässe und Termine</w:t>
      </w: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  <w:gridCol w:w="1720"/>
        <w:gridCol w:w="1720"/>
        <w:gridCol w:w="1720"/>
      </w:tblGrid>
      <w:tr>
        <w:trPr>
          <w:trHeight w:val="454" w:hRule="atLeast"/>
          <w:tblHeader w:val="true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Nr.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Beschäftigte Person / ID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Tätigkeit / Bereich</w:t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Vorsorgeanlass</w:t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Art: Pflicht / Angebot / Wunsch / nachgehend</w:t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Datum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Nächster Termin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Angebot / Bescheinigung dokumentiert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Bemerkung ohne Befunddaten</w:t>
            </w:r>
          </w:p>
        </w:tc>
      </w:tr>
      <w:tr>
        <w:trPr>
          <w:trHeight w:val="567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Fortsetzung Vorsorgekartei</w:t>
      </w: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  <w:gridCol w:w="1720"/>
        <w:gridCol w:w="1720"/>
        <w:gridCol w:w="1720"/>
      </w:tblGrid>
      <w:tr>
        <w:trPr>
          <w:trHeight w:val="454" w:hRule="atLeast"/>
          <w:tblHeader w:val="true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Nr.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Beschäftigte Person / ID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Tätigkeit / Bereich</w:t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Vorsorgeanlass</w:t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Art: Pflicht / Angebot / Wunsch / nachgehend</w:t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Datum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Nächster Termin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Angebot / Bescheinigung dokumentiert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Bemerkung ohne Befunddaten</w:t>
            </w:r>
          </w:p>
        </w:tc>
      </w:tr>
      <w:tr>
        <w:trPr>
          <w:trHeight w:val="624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Organisatorische Kontrolle</w:t>
      </w: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3869"/>
        <w:gridCol w:w="3869"/>
        <w:gridCol w:w="3869"/>
        <w:gridCol w:w="3869"/>
      </w:tblGrid>
      <w:tr>
        <w:trPr>
          <w:trHeight w:val="454" w:hRule="atLeast"/>
          <w:tblHeader w:val="true"/>
        </w:trPr>
        <w:tc>
          <w:tcPr>
            <w:tcW w:type="dxa" w:w="52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</w:t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Termin</w:t>
            </w:r>
          </w:p>
        </w:tc>
        <w:tc>
          <w:tcPr>
            <w:tcW w:type="dxa" w:w="600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Ergebnis / Nachweis</w:t>
            </w:r>
          </w:p>
        </w:tc>
      </w:tr>
      <w:tr>
        <w:trPr>
          <w:trHeight w:val="567" w:hRule="atLeast"/>
          <w:cantSplit/>
        </w:trPr>
        <w:tc>
          <w:tcPr>
            <w:tcW w:type="dxa" w:w="52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600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2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600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spacing w:before="100" w:after="0" w:line="240" w:lineRule="auto"/>
      </w:pPr>
      <w:r>
        <w:rPr>
          <w:rFonts w:ascii="Arial" w:hAnsi="Arial"/>
          <w:b/>
          <w:color w:val="596C62"/>
          <w:sz w:val="14"/>
        </w:rPr>
        <w:t xml:space="preserve">Rechtsgrundlagen / Hinweise: </w:t>
      </w:r>
      <w:r>
        <w:rPr>
          <w:rFonts w:ascii="Arial" w:hAnsi="Arial"/>
          <w:b w:val="0"/>
          <w:color w:val="596C62"/>
          <w:sz w:val="14"/>
        </w:rPr>
        <w:t>ArbMedVV § 3 Abs. 4 sowie Anhang ArbMedVV; Datenschutz und ärztliche Schweigepflicht beachten.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5477"/>
      <w:jc w:val="center"/>
      <w:tblLayout w:type="fixed"/>
      <w:tblLook w:firstColumn="1" w:firstRow="1" w:lastColumn="0" w:lastRow="0" w:noHBand="0" w:noVBand="1" w:val="04A0"/>
    </w:tblPr>
    <w:tblGrid>
      <w:gridCol w:w="7739"/>
      <w:gridCol w:w="7739"/>
    </w:tblGrid>
    <w:tr>
      <w:tc>
        <w:tcPr>
          <w:tcW w:type="dxa" w:w="7370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8107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5478"/>
      <w:tblLayout w:type="fixed"/>
      <w:tblLook w:firstColumn="1" w:firstRow="1" w:lastColumn="0" w:lastRow="0" w:noHBand="0" w:noVBand="1" w:val="04A0"/>
    </w:tblPr>
    <w:tblGrid>
      <w:gridCol w:w="11850"/>
      <w:gridCol w:w="3628"/>
    </w:tblGrid>
    <w:tr>
      <w:tc>
        <w:tcPr>
          <w:tcW w:type="dxa" w:w="11850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Vorsorgekartei - Terminübersicht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Vorsorgeanlässe und Termine nach ArbMedVV datensparsam dokumentieren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Vorsorgekartei - Terminübersicht</dc:title>
  <dc:subject>Vorsorgeanlässe und Termine nach ArbMedVV datensparsam dokumentieren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